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 w:val="0"/>
        </w:rPr>
        <w:t>Руководителю [наименование организации]</w:t>
      </w:r>
    </w:p>
    <w:p>
      <w:pPr>
        <w:jc w:val="right"/>
      </w:pPr>
      <w:r>
        <w:rPr>
          <w:b w:val="0"/>
        </w:rPr>
        <w:t>[должность, Ф. И. О.]</w:t>
      </w:r>
    </w:p>
    <w:p>
      <w:pPr>
        <w:jc w:val="right"/>
      </w:pPr>
      <w:r>
        <w:rPr>
          <w:b w:val="0"/>
        </w:rPr>
        <w:t>от [должность, Ф. И. О. составителя]</w:t>
      </w:r>
    </w:p>
    <w:p>
      <w:pPr>
        <w:spacing w:before="160"/>
        <w:jc w:val="center"/>
      </w:pPr>
      <w:r>
        <w:rPr>
          <w:b/>
          <w:sz w:val="26"/>
        </w:rPr>
        <w:t>СЛУЖЕБНАЯ ЗАПИСКА</w:t>
      </w:r>
    </w:p>
    <w:p>
      <w:pPr>
        <w:jc w:val="center"/>
      </w:pPr>
      <w:r>
        <w:rPr>
          <w:b w:val="0"/>
        </w:rPr>
        <w:t>о необходимости замены люминесцентных светильников на светодиодные</w:t>
      </w:r>
    </w:p>
    <w:p>
      <w:pPr>
        <w:spacing w:before="120"/>
      </w:pPr>
      <w:r>
        <w:rPr>
          <w:b/>
        </w:rPr>
        <w:t>1. Нормативные основания</w:t>
      </w:r>
    </w:p>
    <w:p>
      <w:pPr>
        <w:pStyle w:val="ListNumber"/>
      </w:pPr>
      <w:r>
        <w:t>Постановление Правительства РФ от 31.12.2009 № 1221 (п. 7 Правил, в ред. ПП РФ от 28.08.2015 № 898): с 01.07.2016 запрещена закупка для государственных и муниципальных нужд двухцокольных люминесцентных ламп с цоколем G13 (Ra не выше 80), дуговых ртутных ламп, неэлектронных ПРА и светильников под перечисленные лампы.</w:t>
      </w:r>
    </w:p>
    <w:p>
      <w:pPr>
        <w:pStyle w:val="ListNumber"/>
      </w:pPr>
      <w:r>
        <w:t>Федеральный закон от 23.11.2009 № 261-ФЗ «Об энергосбережении и о повышении энергетической эффективности».</w:t>
      </w:r>
    </w:p>
    <w:p>
      <w:pPr>
        <w:pStyle w:val="ListNumber"/>
      </w:pPr>
      <w:r>
        <w:t>Федеральный закон от 24.06.1998 № 89-ФЗ, Постановление Правительства РФ от 03.09.2010 № 681: отработанные люминесцентные лампы — ртутьсодержащие отходы I класса опасности (журнал учёта, спецхранение, договор с лицензированной организацией). Ответственность — ст. 8.2 КоАП РФ.</w:t>
      </w:r>
    </w:p>
    <w:p>
      <w:pPr>
        <w:pStyle w:val="ListNumber"/>
      </w:pPr>
      <w:r>
        <w:t>СП 52.13330, СанПиН 1.2.3685-21 — требования к освещённости и коэффициенту пульсации.</w:t>
      </w:r>
    </w:p>
    <w:p>
      <w:pPr>
        <w:spacing w:before="80"/>
      </w:pPr>
      <w:r>
        <w:rPr>
          <w:b/>
        </w:rPr>
        <w:t>2. Текущее состояние</w:t>
      </w:r>
    </w:p>
    <w:p>
      <w:r>
        <w:rPr>
          <w:b w:val="0"/>
        </w:rPr>
        <w:t>В помещениях [перечень помещений] эксплуатируются [N] светильников типа [тип] с люминесцентными лампами. Фактическое потребление одного светильника с учётом ПРА — около [80] Вт. Затраты за год: электроэнергия — [сумма] руб., закупка ламп и утилизация ртутьсодержащих отходов — [сумма] руб.</w:t>
      </w:r>
    </w:p>
    <w:p>
      <w:pPr>
        <w:spacing w:before="80"/>
      </w:pPr>
      <w:r>
        <w:rPr>
          <w:b/>
        </w:rPr>
        <w:t>3. Предложение</w:t>
      </w:r>
    </w:p>
    <w:p>
      <w:r>
        <w:rPr>
          <w:b w:val="0"/>
        </w:rPr>
        <w:t>Заменить указанные светильники на светодиодные ([модель/характеристики]: мощность [36] Вт, световой поток от [5500] лм, срок службы [50 000] ч, коэффициент пульсации менее [5] %). Светодиодные светильники не содержат ртути и не относятся к отходам I класса опасности.</w:t>
      </w:r>
    </w:p>
    <w:p>
      <w:pPr>
        <w:spacing w:before="80"/>
      </w:pPr>
      <w:r>
        <w:rPr>
          <w:b/>
        </w:rPr>
        <w:t>4. Экономическое обоснование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75"/>
        <w:gridCol w:w="3475"/>
        <w:gridCol w:w="3475"/>
      </w:tblGrid>
      <w:tr>
        <w:tc>
          <w:tcPr>
            <w:tcW w:type="dxa" w:w="3475"/>
          </w:tcPr>
          <w:p>
            <w:pPr>
              <w:spacing w:after="20"/>
            </w:pPr>
            <w:r>
              <w:rPr>
                <w:b/>
                <w:sz w:val="21"/>
              </w:rPr>
              <w:t>Показатель</w:t>
            </w:r>
          </w:p>
        </w:tc>
        <w:tc>
          <w:tcPr>
            <w:tcW w:type="dxa" w:w="3475"/>
          </w:tcPr>
          <w:p>
            <w:pPr>
              <w:spacing w:after="20"/>
            </w:pPr>
            <w:r>
              <w:rPr>
                <w:b/>
                <w:sz w:val="21"/>
              </w:rPr>
              <w:t>Существующие светильники</w:t>
            </w:r>
          </w:p>
        </w:tc>
        <w:tc>
          <w:tcPr>
            <w:tcW w:type="dxa" w:w="3475"/>
          </w:tcPr>
          <w:p>
            <w:pPr>
              <w:spacing w:after="20"/>
            </w:pPr>
            <w:r>
              <w:rPr>
                <w:b/>
                <w:sz w:val="21"/>
              </w:rPr>
              <w:t>Светодиодные</w:t>
            </w:r>
          </w:p>
        </w:tc>
      </w:tr>
      <w:tr>
        <w:tc>
          <w:tcPr>
            <w:tcW w:type="dxa" w:w="3475"/>
          </w:tcPr>
          <w:p>
            <w:pPr>
              <w:spacing w:after="20"/>
            </w:pPr>
            <w:r>
              <w:rPr>
                <w:sz w:val="21"/>
              </w:rPr>
              <w:t>Потребление парка, кВт</w:t>
            </w:r>
          </w:p>
        </w:tc>
        <w:tc>
          <w:tcPr>
            <w:tcW w:type="dxa" w:w="3475"/>
          </w:tcPr>
          <w:p>
            <w:pPr>
              <w:spacing w:after="20"/>
            </w:pPr>
            <w:r>
              <w:rPr>
                <w:sz w:val="21"/>
              </w:rPr>
              <w:t>[…]</w:t>
            </w:r>
          </w:p>
        </w:tc>
        <w:tc>
          <w:tcPr>
            <w:tcW w:type="dxa" w:w="3475"/>
          </w:tcPr>
          <w:p>
            <w:pPr>
              <w:spacing w:after="20"/>
            </w:pPr>
            <w:r>
              <w:rPr>
                <w:sz w:val="21"/>
              </w:rPr>
              <w:t>[…]</w:t>
            </w:r>
          </w:p>
        </w:tc>
      </w:tr>
      <w:tr>
        <w:tc>
          <w:tcPr>
            <w:tcW w:type="dxa" w:w="3475"/>
          </w:tcPr>
          <w:p>
            <w:pPr>
              <w:spacing w:after="20"/>
            </w:pPr>
            <w:r>
              <w:rPr>
                <w:sz w:val="21"/>
              </w:rPr>
              <w:t>Электроэнергия за год, руб.</w:t>
            </w:r>
          </w:p>
        </w:tc>
        <w:tc>
          <w:tcPr>
            <w:tcW w:type="dxa" w:w="3475"/>
          </w:tcPr>
          <w:p>
            <w:pPr>
              <w:spacing w:after="20"/>
            </w:pPr>
            <w:r>
              <w:rPr>
                <w:sz w:val="21"/>
              </w:rPr>
              <w:t>[…]</w:t>
            </w:r>
          </w:p>
        </w:tc>
        <w:tc>
          <w:tcPr>
            <w:tcW w:type="dxa" w:w="3475"/>
          </w:tcPr>
          <w:p>
            <w:pPr>
              <w:spacing w:after="20"/>
            </w:pPr>
            <w:r>
              <w:rPr>
                <w:sz w:val="21"/>
              </w:rPr>
              <w:t>[…]</w:t>
            </w:r>
          </w:p>
        </w:tc>
      </w:tr>
      <w:tr>
        <w:tc>
          <w:tcPr>
            <w:tcW w:type="dxa" w:w="3475"/>
          </w:tcPr>
          <w:p>
            <w:pPr>
              <w:spacing w:after="20"/>
            </w:pPr>
            <w:r>
              <w:rPr>
                <w:sz w:val="21"/>
              </w:rPr>
              <w:t>Лампы и утилизация за год, руб.</w:t>
            </w:r>
          </w:p>
        </w:tc>
        <w:tc>
          <w:tcPr>
            <w:tcW w:type="dxa" w:w="3475"/>
          </w:tcPr>
          <w:p>
            <w:pPr>
              <w:spacing w:after="20"/>
            </w:pPr>
            <w:r>
              <w:rPr>
                <w:sz w:val="21"/>
              </w:rPr>
              <w:t>[…]</w:t>
            </w:r>
          </w:p>
        </w:tc>
        <w:tc>
          <w:tcPr>
            <w:tcW w:type="dxa" w:w="3475"/>
          </w:tcPr>
          <w:p>
            <w:pPr>
              <w:spacing w:after="20"/>
            </w:pPr>
            <w:r>
              <w:rPr>
                <w:sz w:val="21"/>
              </w:rPr>
              <w:t>0</w:t>
            </w:r>
          </w:p>
        </w:tc>
      </w:tr>
      <w:tr>
        <w:tc>
          <w:tcPr>
            <w:tcW w:type="dxa" w:w="3475"/>
          </w:tcPr>
          <w:p>
            <w:pPr>
              <w:spacing w:after="20"/>
            </w:pPr>
            <w:r>
              <w:rPr>
                <w:sz w:val="21"/>
              </w:rPr>
              <w:t>Итого затраты в год, руб.</w:t>
            </w:r>
          </w:p>
        </w:tc>
        <w:tc>
          <w:tcPr>
            <w:tcW w:type="dxa" w:w="3475"/>
          </w:tcPr>
          <w:p>
            <w:pPr>
              <w:spacing w:after="20"/>
            </w:pPr>
            <w:r>
              <w:rPr>
                <w:sz w:val="21"/>
              </w:rPr>
              <w:t>[…]</w:t>
            </w:r>
          </w:p>
        </w:tc>
        <w:tc>
          <w:tcPr>
            <w:tcW w:type="dxa" w:w="3475"/>
          </w:tcPr>
          <w:p>
            <w:pPr>
              <w:spacing w:after="20"/>
            </w:pPr>
            <w:r>
              <w:rPr>
                <w:sz w:val="21"/>
              </w:rPr>
              <w:t>[…]</w:t>
            </w:r>
          </w:p>
        </w:tc>
      </w:tr>
    </w:tbl>
    <w:p>
      <w:pPr>
        <w:spacing w:before="80"/>
      </w:pPr>
      <w:r>
        <w:rPr>
          <w:b w:val="0"/>
        </w:rPr>
        <w:t>Ожидаемая экономия — [сумма] руб. в год, срок окупаемости — [N] месяцев.</w:t>
      </w:r>
    </w:p>
    <w:p>
      <w:r>
        <w:rPr>
          <w:b w:val="0"/>
        </w:rPr>
        <w:t>Прошу согласовать закупку светодиодных светильников и включить работы по замене в план [период].</w:t>
      </w:r>
    </w:p>
    <w:p>
      <w:pPr>
        <w:spacing w:before="200"/>
      </w:pPr>
      <w:r>
        <w:rPr>
          <w:b w:val="0"/>
        </w:rPr>
        <w:t>[должность] ______________ / [Ф. И. О.] /            «____» ____________ 20___ г.</w:t>
      </w:r>
    </w:p>
    <w:sectPr w:rsidR="00FC693F" w:rsidRPr="0006063C" w:rsidSect="00034616">
      <w:pgSz w:w="12240" w:h="15840"/>
      <w:pgMar w:top="737" w:right="680" w:bottom="62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69" w:lineRule="auto"/>
    </w:pPr>
    <w:rPr>
      <w:rFonts w:ascii="Times New Roman" w:hAnsi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69" w:lineRule="auto"/>
      <w:contextualSpacing/>
    </w:pPr>
    <w:rPr>
      <w:rFonts w:ascii="Times New Roman" w:hAnsi="Times New Roman"/>
      <w:sz w:val="23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